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6D00" w14:textId="77777777" w:rsidR="005E5E84" w:rsidRPr="0036391D" w:rsidRDefault="0036391D" w:rsidP="00467661">
      <w:pPr>
        <w:pStyle w:val="a3"/>
        <w:ind w:left="0"/>
        <w:rPr>
          <w:lang w:val="en-US"/>
        </w:rPr>
      </w:pPr>
      <w:r>
        <w:rPr>
          <w:lang w:val="en-US"/>
        </w:rPr>
        <w:t>Corporate action notice/Insider information disclosure</w:t>
      </w:r>
    </w:p>
    <w:p w14:paraId="394C8C77" w14:textId="77777777" w:rsidR="005E5E84" w:rsidRPr="0036391D" w:rsidRDefault="0036391D" w:rsidP="00467661">
      <w:pPr>
        <w:pStyle w:val="a3"/>
        <w:ind w:left="0"/>
        <w:rPr>
          <w:lang w:val="en-US"/>
        </w:rPr>
      </w:pPr>
      <w:r>
        <w:rPr>
          <w:lang w:val="en-US"/>
        </w:rPr>
        <w:t>"On completion of the offering"</w:t>
      </w:r>
    </w:p>
    <w:p w14:paraId="48B5878C" w14:textId="77777777" w:rsidR="005E5E84" w:rsidRPr="0036391D" w:rsidRDefault="0036391D" w:rsidP="00467661">
      <w:pPr>
        <w:rPr>
          <w:b/>
          <w:sz w:val="24"/>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1"/>
        <w:gridCol w:w="1304"/>
        <w:gridCol w:w="1068"/>
        <w:gridCol w:w="992"/>
        <w:gridCol w:w="1431"/>
        <w:gridCol w:w="2821"/>
      </w:tblGrid>
      <w:tr w:rsidR="00B37679" w14:paraId="518B9725" w14:textId="77777777" w:rsidTr="00467661">
        <w:trPr>
          <w:trHeight w:val="20"/>
        </w:trPr>
        <w:tc>
          <w:tcPr>
            <w:tcW w:w="5000" w:type="pct"/>
            <w:gridSpan w:val="7"/>
          </w:tcPr>
          <w:p w14:paraId="771DE949" w14:textId="77777777" w:rsidR="005E5E84" w:rsidRDefault="0036391D" w:rsidP="00467661">
            <w:pPr>
              <w:pStyle w:val="TableParagraph"/>
              <w:ind w:left="0"/>
              <w:rPr>
                <w:sz w:val="24"/>
              </w:rPr>
            </w:pPr>
            <w:r>
              <w:rPr>
                <w:sz w:val="24"/>
                <w:lang w:val="en-US"/>
              </w:rPr>
              <w:t>1. General</w:t>
            </w:r>
          </w:p>
        </w:tc>
      </w:tr>
      <w:tr w:rsidR="00B37679" w:rsidRPr="0036391D" w14:paraId="29917800" w14:textId="77777777" w:rsidTr="00467661">
        <w:trPr>
          <w:trHeight w:val="20"/>
        </w:trPr>
        <w:tc>
          <w:tcPr>
            <w:tcW w:w="2314" w:type="pct"/>
            <w:gridSpan w:val="4"/>
          </w:tcPr>
          <w:p w14:paraId="73324992" w14:textId="77777777" w:rsidR="005E5E84" w:rsidRPr="0036391D" w:rsidRDefault="0036391D" w:rsidP="00467661">
            <w:pPr>
              <w:pStyle w:val="TableParagraph"/>
              <w:ind w:left="0"/>
              <w:rPr>
                <w:sz w:val="24"/>
                <w:lang w:val="en-US"/>
              </w:rPr>
            </w:pPr>
            <w:r>
              <w:rPr>
                <w:sz w:val="24"/>
                <w:lang w:val="en-US"/>
              </w:rPr>
              <w:t>1.1. Full corporate name of the Issuer</w:t>
            </w:r>
          </w:p>
        </w:tc>
        <w:tc>
          <w:tcPr>
            <w:tcW w:w="2686" w:type="pct"/>
            <w:gridSpan w:val="3"/>
          </w:tcPr>
          <w:p w14:paraId="6B3D4BCA" w14:textId="77777777" w:rsidR="005E5E84" w:rsidRPr="0036391D" w:rsidRDefault="0036391D" w:rsidP="00467661">
            <w:pPr>
              <w:pStyle w:val="TableParagraph"/>
              <w:tabs>
                <w:tab w:val="left" w:pos="1941"/>
                <w:tab w:val="left" w:pos="3967"/>
              </w:tabs>
              <w:ind w:left="0"/>
              <w:rPr>
                <w:b/>
                <w:sz w:val="24"/>
                <w:lang w:val="en-US"/>
              </w:rPr>
            </w:pPr>
            <w:r>
              <w:rPr>
                <w:b/>
                <w:sz w:val="24"/>
                <w:lang w:val="en-US"/>
              </w:rPr>
              <w:t>Public Joint Stock Company "Interregional Distribution Grid Company of the South”</w:t>
            </w:r>
          </w:p>
        </w:tc>
      </w:tr>
      <w:tr w:rsidR="00B37679" w:rsidRPr="0036391D" w14:paraId="696DCA5B" w14:textId="77777777" w:rsidTr="00467661">
        <w:trPr>
          <w:trHeight w:val="20"/>
        </w:trPr>
        <w:tc>
          <w:tcPr>
            <w:tcW w:w="2314" w:type="pct"/>
            <w:gridSpan w:val="4"/>
          </w:tcPr>
          <w:p w14:paraId="4CB555F7" w14:textId="77777777" w:rsidR="005E5E84" w:rsidRPr="0036391D" w:rsidRDefault="0036391D" w:rsidP="00467661">
            <w:pPr>
              <w:pStyle w:val="TableParagraph"/>
              <w:tabs>
                <w:tab w:val="left" w:pos="3135"/>
              </w:tabs>
              <w:ind w:left="0"/>
              <w:rPr>
                <w:sz w:val="24"/>
                <w:lang w:val="en-US"/>
              </w:rPr>
            </w:pPr>
            <w:r>
              <w:rPr>
                <w:sz w:val="24"/>
                <w:lang w:val="en-US"/>
              </w:rPr>
              <w:t xml:space="preserve">1.2. Abbreviated </w:t>
            </w:r>
            <w:r>
              <w:rPr>
                <w:sz w:val="24"/>
                <w:lang w:val="en-US"/>
              </w:rPr>
              <w:t>corporate name of the Issuer</w:t>
            </w:r>
          </w:p>
        </w:tc>
        <w:tc>
          <w:tcPr>
            <w:tcW w:w="2686" w:type="pct"/>
            <w:gridSpan w:val="3"/>
          </w:tcPr>
          <w:p w14:paraId="63AFC6E2" w14:textId="77777777" w:rsidR="005E5E84" w:rsidRPr="0036391D" w:rsidRDefault="0036391D" w:rsidP="00467661">
            <w:pPr>
              <w:pStyle w:val="TableParagraph"/>
              <w:ind w:left="0"/>
              <w:rPr>
                <w:b/>
                <w:sz w:val="24"/>
                <w:lang w:val="en-US"/>
              </w:rPr>
            </w:pPr>
            <w:r>
              <w:rPr>
                <w:b/>
                <w:sz w:val="24"/>
                <w:lang w:val="en-US"/>
              </w:rPr>
              <w:t>IDGC of the South, PJSC</w:t>
            </w:r>
          </w:p>
        </w:tc>
      </w:tr>
      <w:tr w:rsidR="00B37679" w:rsidRPr="0036391D" w14:paraId="637903DA" w14:textId="77777777" w:rsidTr="00467661">
        <w:trPr>
          <w:trHeight w:val="20"/>
        </w:trPr>
        <w:tc>
          <w:tcPr>
            <w:tcW w:w="2314" w:type="pct"/>
            <w:gridSpan w:val="4"/>
          </w:tcPr>
          <w:p w14:paraId="33F8E15F" w14:textId="77777777" w:rsidR="005E5E84" w:rsidRDefault="0036391D" w:rsidP="00467661">
            <w:pPr>
              <w:pStyle w:val="TableParagraph"/>
              <w:ind w:left="0"/>
              <w:rPr>
                <w:sz w:val="24"/>
              </w:rPr>
            </w:pPr>
            <w:r>
              <w:rPr>
                <w:sz w:val="24"/>
                <w:lang w:val="en-US"/>
              </w:rPr>
              <w:t>1.3. Location of the Issuer</w:t>
            </w:r>
          </w:p>
        </w:tc>
        <w:tc>
          <w:tcPr>
            <w:tcW w:w="2686" w:type="pct"/>
            <w:gridSpan w:val="3"/>
          </w:tcPr>
          <w:p w14:paraId="6DEACAF5" w14:textId="77777777" w:rsidR="005E5E84" w:rsidRPr="0036391D" w:rsidRDefault="0036391D" w:rsidP="00467661">
            <w:pPr>
              <w:pStyle w:val="TableParagraph"/>
              <w:ind w:left="0"/>
              <w:rPr>
                <w:b/>
                <w:sz w:val="24"/>
                <w:lang w:val="en-US"/>
              </w:rPr>
            </w:pPr>
            <w:r>
              <w:rPr>
                <w:b/>
                <w:sz w:val="24"/>
                <w:lang w:val="en-US"/>
              </w:rPr>
              <w:t>Rostov-on-Don, Russian Federation</w:t>
            </w:r>
          </w:p>
        </w:tc>
      </w:tr>
      <w:tr w:rsidR="00B37679" w14:paraId="5682ABA1" w14:textId="77777777" w:rsidTr="00467661">
        <w:trPr>
          <w:trHeight w:val="20"/>
        </w:trPr>
        <w:tc>
          <w:tcPr>
            <w:tcW w:w="2314" w:type="pct"/>
            <w:gridSpan w:val="4"/>
          </w:tcPr>
          <w:p w14:paraId="34959CEF" w14:textId="77777777" w:rsidR="005E5E84" w:rsidRDefault="0036391D" w:rsidP="00467661">
            <w:pPr>
              <w:pStyle w:val="TableParagraph"/>
              <w:ind w:left="0"/>
              <w:rPr>
                <w:sz w:val="24"/>
              </w:rPr>
            </w:pPr>
            <w:r>
              <w:rPr>
                <w:sz w:val="24"/>
                <w:lang w:val="en-US"/>
              </w:rPr>
              <w:t>1.4. OGRN of the Issuer</w:t>
            </w:r>
          </w:p>
        </w:tc>
        <w:tc>
          <w:tcPr>
            <w:tcW w:w="2686" w:type="pct"/>
            <w:gridSpan w:val="3"/>
          </w:tcPr>
          <w:p w14:paraId="6AB25563" w14:textId="77777777" w:rsidR="005E5E84" w:rsidRDefault="0036391D" w:rsidP="00467661">
            <w:pPr>
              <w:pStyle w:val="TableParagraph"/>
              <w:ind w:left="0"/>
              <w:rPr>
                <w:b/>
                <w:sz w:val="24"/>
              </w:rPr>
            </w:pPr>
            <w:r>
              <w:rPr>
                <w:b/>
                <w:sz w:val="24"/>
                <w:lang w:val="en-US"/>
              </w:rPr>
              <w:t>1076164009096</w:t>
            </w:r>
          </w:p>
        </w:tc>
      </w:tr>
      <w:tr w:rsidR="00B37679" w14:paraId="265D284A" w14:textId="77777777" w:rsidTr="00467661">
        <w:trPr>
          <w:trHeight w:val="20"/>
        </w:trPr>
        <w:tc>
          <w:tcPr>
            <w:tcW w:w="2314" w:type="pct"/>
            <w:gridSpan w:val="4"/>
          </w:tcPr>
          <w:p w14:paraId="6DFF1235" w14:textId="77777777" w:rsidR="005E5E84" w:rsidRDefault="0036391D" w:rsidP="00467661">
            <w:pPr>
              <w:pStyle w:val="TableParagraph"/>
              <w:ind w:left="0"/>
              <w:rPr>
                <w:sz w:val="24"/>
              </w:rPr>
            </w:pPr>
            <w:r>
              <w:rPr>
                <w:sz w:val="24"/>
                <w:lang w:val="en-US"/>
              </w:rPr>
              <w:t>1.5. TIN of the Issuer</w:t>
            </w:r>
          </w:p>
        </w:tc>
        <w:tc>
          <w:tcPr>
            <w:tcW w:w="2686" w:type="pct"/>
            <w:gridSpan w:val="3"/>
          </w:tcPr>
          <w:p w14:paraId="6D6A6979" w14:textId="77777777" w:rsidR="005E5E84" w:rsidRDefault="0036391D" w:rsidP="00467661">
            <w:pPr>
              <w:pStyle w:val="TableParagraph"/>
              <w:ind w:left="0"/>
              <w:rPr>
                <w:b/>
                <w:sz w:val="24"/>
              </w:rPr>
            </w:pPr>
            <w:r>
              <w:rPr>
                <w:b/>
                <w:sz w:val="24"/>
                <w:lang w:val="en-US"/>
              </w:rPr>
              <w:t>6164266561</w:t>
            </w:r>
          </w:p>
        </w:tc>
      </w:tr>
      <w:tr w:rsidR="00B37679" w14:paraId="27D7FDC1" w14:textId="77777777" w:rsidTr="00467661">
        <w:trPr>
          <w:trHeight w:val="20"/>
        </w:trPr>
        <w:tc>
          <w:tcPr>
            <w:tcW w:w="2314" w:type="pct"/>
            <w:gridSpan w:val="4"/>
          </w:tcPr>
          <w:p w14:paraId="5EDF76EC" w14:textId="77777777" w:rsidR="005E5E84" w:rsidRPr="0036391D" w:rsidRDefault="0036391D" w:rsidP="00467661">
            <w:pPr>
              <w:pStyle w:val="TableParagraph"/>
              <w:tabs>
                <w:tab w:val="left" w:pos="2379"/>
                <w:tab w:val="left" w:pos="3286"/>
              </w:tabs>
              <w:ind w:left="0"/>
              <w:rPr>
                <w:sz w:val="24"/>
                <w:lang w:val="en-US"/>
              </w:rPr>
            </w:pPr>
            <w:r>
              <w:rPr>
                <w:sz w:val="24"/>
                <w:lang w:val="en-US"/>
              </w:rPr>
              <w:t>1.6. Unique code of the Issuer, assigned by the registering autho</w:t>
            </w:r>
            <w:r>
              <w:rPr>
                <w:sz w:val="24"/>
                <w:lang w:val="en-US"/>
              </w:rPr>
              <w:t>rity</w:t>
            </w:r>
          </w:p>
        </w:tc>
        <w:tc>
          <w:tcPr>
            <w:tcW w:w="2686" w:type="pct"/>
            <w:gridSpan w:val="3"/>
            <w:vAlign w:val="center"/>
          </w:tcPr>
          <w:p w14:paraId="3DE225FC" w14:textId="77777777" w:rsidR="005E5E84" w:rsidRDefault="0036391D" w:rsidP="00467661">
            <w:pPr>
              <w:pStyle w:val="TableParagraph"/>
              <w:ind w:left="0"/>
              <w:rPr>
                <w:b/>
                <w:sz w:val="24"/>
              </w:rPr>
            </w:pPr>
            <w:r>
              <w:rPr>
                <w:b/>
                <w:sz w:val="24"/>
                <w:lang w:val="en-US"/>
              </w:rPr>
              <w:t>34956-Е</w:t>
            </w:r>
          </w:p>
        </w:tc>
      </w:tr>
      <w:tr w:rsidR="00B37679" w:rsidRPr="0036391D" w14:paraId="1BE71E9C" w14:textId="77777777" w:rsidTr="00467661">
        <w:trPr>
          <w:trHeight w:val="20"/>
        </w:trPr>
        <w:tc>
          <w:tcPr>
            <w:tcW w:w="2314" w:type="pct"/>
            <w:gridSpan w:val="4"/>
          </w:tcPr>
          <w:p w14:paraId="242E9A59" w14:textId="77777777" w:rsidR="005E5E84" w:rsidRPr="0036391D" w:rsidRDefault="0036391D" w:rsidP="00467661">
            <w:pPr>
              <w:pStyle w:val="TableParagraph"/>
              <w:ind w:left="0"/>
              <w:rPr>
                <w:sz w:val="24"/>
                <w:lang w:val="en-US"/>
              </w:rPr>
            </w:pPr>
            <w:r>
              <w:rPr>
                <w:sz w:val="24"/>
                <w:lang w:val="en-US"/>
              </w:rPr>
              <w:t>1.7. The addresses of the Internet pages used by the Issuer for information disclosures</w:t>
            </w:r>
          </w:p>
        </w:tc>
        <w:tc>
          <w:tcPr>
            <w:tcW w:w="2686" w:type="pct"/>
            <w:gridSpan w:val="3"/>
            <w:vAlign w:val="center"/>
          </w:tcPr>
          <w:p w14:paraId="2AE41BE1" w14:textId="77777777" w:rsidR="00467661" w:rsidRPr="0036391D" w:rsidRDefault="0036391D" w:rsidP="00467661">
            <w:pPr>
              <w:pStyle w:val="TableParagraph"/>
              <w:ind w:left="0"/>
              <w:rPr>
                <w:b/>
                <w:sz w:val="24"/>
                <w:lang w:val="en-US"/>
              </w:rPr>
            </w:pPr>
            <w:hyperlink r:id="rId5" w:history="1">
              <w:r>
                <w:rPr>
                  <w:b/>
                  <w:sz w:val="24"/>
                  <w:u w:val="thick"/>
                  <w:lang w:val="en-US"/>
                </w:rPr>
                <w:t>http://www.mrsk-yuga.ru</w:t>
              </w:r>
            </w:hyperlink>
          </w:p>
          <w:p w14:paraId="0C0E4E86" w14:textId="77777777" w:rsidR="005E5E84" w:rsidRPr="0036391D" w:rsidRDefault="0036391D" w:rsidP="00467661">
            <w:pPr>
              <w:pStyle w:val="TableParagraph"/>
              <w:ind w:left="0"/>
              <w:rPr>
                <w:b/>
                <w:sz w:val="24"/>
                <w:lang w:val="en-US"/>
              </w:rPr>
            </w:pPr>
            <w:hyperlink r:id="rId6" w:history="1">
              <w:r>
                <w:rPr>
                  <w:b/>
                  <w:sz w:val="24"/>
                  <w:u w:val="thick"/>
                  <w:lang w:val="en-US"/>
                </w:rPr>
                <w:t>http://www.e-</w:t>
              </w:r>
            </w:hyperlink>
            <w:hyperlink r:id="rId7" w:history="1">
              <w:r w:rsidRPr="00467661">
                <w:rPr>
                  <w:b/>
                  <w:sz w:val="24"/>
                  <w:u w:val="thick"/>
                  <w:lang w:val="en-US"/>
                </w:rPr>
                <w:t>disclosure.ru/portal/company.aspx?id=11999</w:t>
              </w:r>
            </w:hyperlink>
          </w:p>
        </w:tc>
      </w:tr>
      <w:tr w:rsidR="00B37679" w14:paraId="4001F399" w14:textId="77777777" w:rsidTr="00467661">
        <w:trPr>
          <w:trHeight w:val="20"/>
        </w:trPr>
        <w:tc>
          <w:tcPr>
            <w:tcW w:w="2314" w:type="pct"/>
            <w:gridSpan w:val="4"/>
          </w:tcPr>
          <w:p w14:paraId="0C8DF56E" w14:textId="77777777" w:rsidR="005E5E84" w:rsidRPr="0036391D" w:rsidRDefault="0036391D" w:rsidP="00467661">
            <w:pPr>
              <w:pStyle w:val="TableParagraph"/>
              <w:tabs>
                <w:tab w:val="left" w:pos="1928"/>
                <w:tab w:val="left" w:pos="3739"/>
              </w:tabs>
              <w:ind w:left="0"/>
              <w:jc w:val="both"/>
              <w:rPr>
                <w:sz w:val="24"/>
                <w:lang w:val="en-US"/>
              </w:rPr>
            </w:pPr>
            <w:r>
              <w:rPr>
                <w:sz w:val="24"/>
                <w:lang w:val="en-US"/>
              </w:rPr>
              <w:t xml:space="preserve">1.8. Event effective date (material fact) of which the </w:t>
            </w:r>
            <w:r>
              <w:rPr>
                <w:sz w:val="24"/>
                <w:lang w:val="en-US"/>
              </w:rPr>
              <w:t>message is composed (if applicable):</w:t>
            </w:r>
          </w:p>
        </w:tc>
        <w:tc>
          <w:tcPr>
            <w:tcW w:w="2686" w:type="pct"/>
            <w:gridSpan w:val="3"/>
            <w:vAlign w:val="center"/>
          </w:tcPr>
          <w:p w14:paraId="3D0D3DA0" w14:textId="77777777" w:rsidR="005E5E84" w:rsidRDefault="0036391D" w:rsidP="00467661">
            <w:pPr>
              <w:pStyle w:val="TableParagraph"/>
              <w:ind w:left="0"/>
              <w:rPr>
                <w:b/>
                <w:sz w:val="24"/>
              </w:rPr>
            </w:pPr>
            <w:r>
              <w:rPr>
                <w:b/>
                <w:sz w:val="24"/>
                <w:lang w:val="en-US"/>
              </w:rPr>
              <w:t>July 31, 2019</w:t>
            </w:r>
          </w:p>
        </w:tc>
      </w:tr>
      <w:tr w:rsidR="00B37679" w14:paraId="460DD179" w14:textId="77777777" w:rsidTr="00467661">
        <w:trPr>
          <w:trHeight w:val="20"/>
        </w:trPr>
        <w:tc>
          <w:tcPr>
            <w:tcW w:w="5000" w:type="pct"/>
            <w:gridSpan w:val="7"/>
          </w:tcPr>
          <w:p w14:paraId="25EB1192" w14:textId="77777777" w:rsidR="005E5E84" w:rsidRDefault="0036391D" w:rsidP="00467661">
            <w:pPr>
              <w:pStyle w:val="TableParagraph"/>
              <w:ind w:left="0"/>
              <w:rPr>
                <w:sz w:val="24"/>
              </w:rPr>
            </w:pPr>
            <w:r>
              <w:rPr>
                <w:sz w:val="24"/>
                <w:lang w:val="en-US"/>
              </w:rPr>
              <w:t>2. Notice content</w:t>
            </w:r>
          </w:p>
        </w:tc>
      </w:tr>
      <w:tr w:rsidR="00B37679" w:rsidRPr="0036391D" w14:paraId="6708F526" w14:textId="77777777" w:rsidTr="00467661">
        <w:trPr>
          <w:trHeight w:val="20"/>
        </w:trPr>
        <w:tc>
          <w:tcPr>
            <w:tcW w:w="5000" w:type="pct"/>
            <w:gridSpan w:val="7"/>
          </w:tcPr>
          <w:p w14:paraId="1B29FB15" w14:textId="77777777" w:rsidR="00467661" w:rsidRPr="0036391D" w:rsidRDefault="0036391D" w:rsidP="00467661">
            <w:pPr>
              <w:pStyle w:val="TableParagraph"/>
              <w:numPr>
                <w:ilvl w:val="1"/>
                <w:numId w:val="2"/>
              </w:numPr>
              <w:tabs>
                <w:tab w:val="left" w:pos="562"/>
              </w:tabs>
              <w:ind w:left="0" w:firstLine="0"/>
              <w:rPr>
                <w:sz w:val="24"/>
                <w:lang w:val="en-US"/>
              </w:rPr>
            </w:pPr>
            <w:r>
              <w:rPr>
                <w:sz w:val="24"/>
                <w:lang w:val="en-US"/>
              </w:rPr>
              <w:t>Type, category, series and other identification features of securities:</w:t>
            </w:r>
          </w:p>
          <w:p w14:paraId="34920C3A" w14:textId="77777777" w:rsidR="00467661" w:rsidRPr="0036391D" w:rsidRDefault="0036391D" w:rsidP="00467661">
            <w:pPr>
              <w:pStyle w:val="TableParagraph"/>
              <w:numPr>
                <w:ilvl w:val="2"/>
                <w:numId w:val="2"/>
              </w:numPr>
              <w:tabs>
                <w:tab w:val="left" w:pos="785"/>
              </w:tabs>
              <w:ind w:left="0" w:firstLine="599"/>
              <w:jc w:val="both"/>
              <w:rPr>
                <w:b/>
                <w:sz w:val="24"/>
                <w:lang w:val="en-US"/>
              </w:rPr>
            </w:pPr>
            <w:r>
              <w:rPr>
                <w:b/>
                <w:sz w:val="24"/>
                <w:lang w:val="en-US"/>
              </w:rPr>
              <w:t xml:space="preserve">ordinary registered uncertificated shares, issue registration number is 1-01-34956-E of September 20, 2007, </w:t>
            </w:r>
            <w:r>
              <w:rPr>
                <w:b/>
                <w:sz w:val="24"/>
                <w:lang w:val="en-US"/>
              </w:rPr>
              <w:t>international securities identification code (ISIN) is RU000A0JPPG8;</w:t>
            </w:r>
          </w:p>
          <w:p w14:paraId="61EBDE5E" w14:textId="77777777" w:rsidR="00467661" w:rsidRPr="0036391D" w:rsidRDefault="0036391D" w:rsidP="00467661">
            <w:pPr>
              <w:pStyle w:val="TableParagraph"/>
              <w:numPr>
                <w:ilvl w:val="2"/>
                <w:numId w:val="2"/>
              </w:numPr>
              <w:tabs>
                <w:tab w:val="left" w:pos="785"/>
              </w:tabs>
              <w:ind w:left="0" w:firstLine="599"/>
              <w:jc w:val="both"/>
              <w:rPr>
                <w:b/>
                <w:sz w:val="24"/>
                <w:lang w:val="en-US"/>
              </w:rPr>
            </w:pPr>
            <w:r>
              <w:rPr>
                <w:b/>
                <w:sz w:val="24"/>
                <w:lang w:val="en-US"/>
              </w:rPr>
              <w:t>ordinary registered uncertificated shares, issue registration number is 1-01-34956-E of May 23, 2019, international securities identification code (number) is RU000A0JPPG8.</w:t>
            </w:r>
          </w:p>
          <w:p w14:paraId="30BE9910" w14:textId="77777777" w:rsidR="00467661" w:rsidRPr="0036391D" w:rsidRDefault="0036391D" w:rsidP="00467661">
            <w:pPr>
              <w:pStyle w:val="TableParagraph"/>
              <w:numPr>
                <w:ilvl w:val="1"/>
                <w:numId w:val="2"/>
              </w:numPr>
              <w:tabs>
                <w:tab w:val="left" w:pos="562"/>
              </w:tabs>
              <w:ind w:left="0" w:firstLine="0"/>
              <w:rPr>
                <w:b/>
                <w:sz w:val="24"/>
                <w:lang w:val="en-US"/>
              </w:rPr>
            </w:pPr>
            <w:r>
              <w:rPr>
                <w:sz w:val="24"/>
                <w:lang w:val="en-US"/>
              </w:rPr>
              <w:t xml:space="preserve">Maturity (for </w:t>
            </w:r>
            <w:r>
              <w:rPr>
                <w:sz w:val="24"/>
                <w:lang w:val="en-US"/>
              </w:rPr>
              <w:t xml:space="preserve">bonds and options of the issuer): </w:t>
            </w:r>
            <w:r>
              <w:rPr>
                <w:b/>
                <w:sz w:val="24"/>
                <w:lang w:val="en-US"/>
              </w:rPr>
              <w:t>not applicable.</w:t>
            </w:r>
          </w:p>
          <w:p w14:paraId="1B02B748" w14:textId="77777777" w:rsidR="00467661" w:rsidRPr="0036391D" w:rsidRDefault="0036391D" w:rsidP="00467661">
            <w:pPr>
              <w:pStyle w:val="TableParagraph"/>
              <w:numPr>
                <w:ilvl w:val="1"/>
                <w:numId w:val="2"/>
              </w:numPr>
              <w:tabs>
                <w:tab w:val="left" w:pos="562"/>
              </w:tabs>
              <w:ind w:left="0" w:firstLine="0"/>
              <w:rPr>
                <w:sz w:val="24"/>
                <w:lang w:val="en-US"/>
              </w:rPr>
            </w:pPr>
            <w:r>
              <w:rPr>
                <w:sz w:val="24"/>
                <w:lang w:val="en-US"/>
              </w:rPr>
              <w:t>State registration number of issue (additional issue) of the securities and date of state registration (identification number of issue (additional issue) of the securities and date of its assignment if in a</w:t>
            </w:r>
            <w:r>
              <w:rPr>
                <w:sz w:val="24"/>
                <w:lang w:val="en-US"/>
              </w:rPr>
              <w:t>ccordance with the Federal Law "On Securities Market" the issue (additional issue) of the issuer's securities is not subject to state registration):</w:t>
            </w:r>
          </w:p>
          <w:p w14:paraId="523E0F09" w14:textId="77777777" w:rsidR="00467661" w:rsidRPr="0036391D" w:rsidRDefault="0036391D" w:rsidP="00467661">
            <w:pPr>
              <w:pStyle w:val="TableParagraph"/>
              <w:ind w:left="883"/>
              <w:rPr>
                <w:b/>
                <w:sz w:val="24"/>
                <w:lang w:val="en-US"/>
              </w:rPr>
            </w:pPr>
            <w:r>
              <w:rPr>
                <w:b/>
                <w:sz w:val="24"/>
                <w:lang w:val="en-US"/>
              </w:rPr>
              <w:t>- No. 1-01-34956-E of September 20, 2007;</w:t>
            </w:r>
          </w:p>
          <w:p w14:paraId="31D3A9DB" w14:textId="77777777" w:rsidR="00467661" w:rsidRPr="0036391D" w:rsidRDefault="0036391D" w:rsidP="00467661">
            <w:pPr>
              <w:pStyle w:val="TableParagraph"/>
              <w:ind w:left="883"/>
              <w:rPr>
                <w:b/>
                <w:sz w:val="24"/>
                <w:lang w:val="en-US"/>
              </w:rPr>
            </w:pPr>
            <w:r>
              <w:rPr>
                <w:b/>
                <w:sz w:val="24"/>
                <w:lang w:val="en-US"/>
              </w:rPr>
              <w:t>- No. 1-01-34956-E of May 23, 2019.</w:t>
            </w:r>
          </w:p>
          <w:p w14:paraId="20280B61" w14:textId="77777777" w:rsidR="00467661" w:rsidRPr="0036391D" w:rsidRDefault="0036391D" w:rsidP="00467661">
            <w:pPr>
              <w:pStyle w:val="TableParagraph"/>
              <w:numPr>
                <w:ilvl w:val="1"/>
                <w:numId w:val="2"/>
              </w:numPr>
              <w:tabs>
                <w:tab w:val="left" w:pos="757"/>
                <w:tab w:val="left" w:pos="758"/>
                <w:tab w:val="left" w:pos="2508"/>
                <w:tab w:val="left" w:pos="4604"/>
                <w:tab w:val="left" w:pos="5600"/>
                <w:tab w:val="left" w:pos="7569"/>
              </w:tabs>
              <w:ind w:left="0" w:firstLine="0"/>
              <w:rPr>
                <w:b/>
                <w:sz w:val="24"/>
                <w:lang w:val="en-US"/>
              </w:rPr>
            </w:pPr>
            <w:r>
              <w:rPr>
                <w:sz w:val="24"/>
                <w:lang w:val="en-US"/>
              </w:rPr>
              <w:t xml:space="preserve">Name of the registering authority which has carried out the state registration of the additional issue of securities: </w:t>
            </w:r>
            <w:r>
              <w:rPr>
                <w:b/>
                <w:sz w:val="24"/>
                <w:lang w:val="en-US"/>
              </w:rPr>
              <w:t>Bank of Russia.</w:t>
            </w:r>
          </w:p>
          <w:p w14:paraId="3B495364" w14:textId="77777777" w:rsidR="00467661" w:rsidRPr="0036391D" w:rsidRDefault="0036391D" w:rsidP="00467661">
            <w:pPr>
              <w:pStyle w:val="TableParagraph"/>
              <w:numPr>
                <w:ilvl w:val="1"/>
                <w:numId w:val="2"/>
              </w:numPr>
              <w:tabs>
                <w:tab w:val="left" w:pos="650"/>
              </w:tabs>
              <w:ind w:left="0" w:firstLine="0"/>
              <w:jc w:val="both"/>
              <w:rPr>
                <w:b/>
                <w:sz w:val="24"/>
                <w:lang w:val="en-US"/>
              </w:rPr>
            </w:pPr>
            <w:r>
              <w:rPr>
                <w:sz w:val="24"/>
                <w:lang w:val="en-US"/>
              </w:rPr>
              <w:t xml:space="preserve">Nominal value (if the nominal value is stipulated by the legislation of the Russian Federation) of each security: </w:t>
            </w:r>
            <w:r>
              <w:rPr>
                <w:b/>
                <w:sz w:val="24"/>
                <w:lang w:val="en-US"/>
              </w:rPr>
              <w:t>10 (Ten)</w:t>
            </w:r>
            <w:r>
              <w:rPr>
                <w:b/>
                <w:sz w:val="24"/>
                <w:lang w:val="en-US"/>
              </w:rPr>
              <w:t xml:space="preserve"> kopecks each.</w:t>
            </w:r>
          </w:p>
          <w:p w14:paraId="0711044A" w14:textId="77777777" w:rsidR="00467661" w:rsidRPr="0036391D" w:rsidRDefault="0036391D" w:rsidP="00467661">
            <w:pPr>
              <w:pStyle w:val="TableParagraph"/>
              <w:numPr>
                <w:ilvl w:val="1"/>
                <w:numId w:val="2"/>
              </w:numPr>
              <w:tabs>
                <w:tab w:val="left" w:pos="562"/>
              </w:tabs>
              <w:ind w:left="0" w:firstLine="0"/>
              <w:rPr>
                <w:b/>
                <w:sz w:val="24"/>
                <w:lang w:val="en-US"/>
              </w:rPr>
            </w:pPr>
            <w:r>
              <w:rPr>
                <w:sz w:val="24"/>
                <w:lang w:val="en-US"/>
              </w:rPr>
              <w:t xml:space="preserve">Securities placement method: </w:t>
            </w:r>
            <w:r>
              <w:rPr>
                <w:b/>
                <w:sz w:val="24"/>
                <w:lang w:val="en-US"/>
              </w:rPr>
              <w:t>public offering.</w:t>
            </w:r>
          </w:p>
          <w:p w14:paraId="32DE4002" w14:textId="77777777" w:rsidR="00467661" w:rsidRPr="0036391D" w:rsidRDefault="0036391D" w:rsidP="00467661">
            <w:pPr>
              <w:pStyle w:val="TableParagraph"/>
              <w:numPr>
                <w:ilvl w:val="1"/>
                <w:numId w:val="2"/>
              </w:numPr>
              <w:tabs>
                <w:tab w:val="left" w:pos="636"/>
              </w:tabs>
              <w:ind w:left="0" w:firstLine="0"/>
              <w:jc w:val="both"/>
              <w:rPr>
                <w:b/>
                <w:sz w:val="24"/>
                <w:lang w:val="en-US"/>
              </w:rPr>
            </w:pPr>
            <w:r>
              <w:rPr>
                <w:sz w:val="24"/>
                <w:lang w:val="en-US"/>
              </w:rPr>
              <w:t xml:space="preserve">Date of actual beginning of securities placement (date of the first transaction aimed at alienation of securities to the first owner): </w:t>
            </w:r>
            <w:r>
              <w:rPr>
                <w:b/>
                <w:sz w:val="24"/>
                <w:lang w:val="en-US"/>
              </w:rPr>
              <w:t>June 10, 2019.</w:t>
            </w:r>
          </w:p>
          <w:p w14:paraId="134A5E40" w14:textId="77777777" w:rsidR="00467661" w:rsidRPr="0036391D" w:rsidRDefault="0036391D" w:rsidP="00467661">
            <w:pPr>
              <w:pStyle w:val="TableParagraph"/>
              <w:numPr>
                <w:ilvl w:val="1"/>
                <w:numId w:val="2"/>
              </w:numPr>
              <w:tabs>
                <w:tab w:val="left" w:pos="586"/>
              </w:tabs>
              <w:ind w:left="0" w:firstLine="0"/>
              <w:jc w:val="both"/>
              <w:rPr>
                <w:b/>
                <w:sz w:val="24"/>
                <w:lang w:val="en-US"/>
              </w:rPr>
            </w:pPr>
            <w:r w:rsidRPr="00467661">
              <w:rPr>
                <w:sz w:val="24"/>
                <w:lang w:val="en-US"/>
              </w:rPr>
              <w:t>The date of actual end of securities placemen</w:t>
            </w:r>
            <w:r w:rsidRPr="00467661">
              <w:rPr>
                <w:sz w:val="24"/>
                <w:lang w:val="en-US"/>
              </w:rPr>
              <w:t>t (the date of making the last incoming entry on the personal account (custody account) of the first owner in the system of registration of rights to securities of the issue (additional issue) or the date of issue of the last certificate of documentary sec</w:t>
            </w:r>
            <w:r w:rsidRPr="00467661">
              <w:rPr>
                <w:sz w:val="24"/>
                <w:lang w:val="en-US"/>
              </w:rPr>
              <w:t xml:space="preserve">urity of the issue (additional issue) without mandatory centralized custody, and in case of placement not all securities of the issue (additional issue) - the date of expiration of the established term of securities placement: </w:t>
            </w:r>
            <w:r w:rsidRPr="00467661">
              <w:rPr>
                <w:b/>
                <w:sz w:val="24"/>
                <w:lang w:val="en-US"/>
              </w:rPr>
              <w:t>The end date for the placemen</w:t>
            </w:r>
            <w:r w:rsidRPr="00467661">
              <w:rPr>
                <w:b/>
                <w:sz w:val="24"/>
                <w:lang w:val="en-US"/>
              </w:rPr>
              <w:t>t of securities of additional issue is 17 (the Seventeenth) business day from the end date for the offers submission  to purchase additional shares by open subscription, specified in clause 8.3 of the decision on the additional issue of securities (hereina</w:t>
            </w:r>
            <w:r w:rsidRPr="00467661">
              <w:rPr>
                <w:b/>
                <w:sz w:val="24"/>
                <w:lang w:val="en-US"/>
              </w:rPr>
              <w:t>fter referred to as the “End Date for the Securities Placement” )</w:t>
            </w:r>
          </w:p>
          <w:p w14:paraId="270E88B4" w14:textId="77777777" w:rsidR="00467661" w:rsidRDefault="0036391D" w:rsidP="00467661">
            <w:pPr>
              <w:pStyle w:val="TableParagraph"/>
              <w:ind w:left="0"/>
              <w:jc w:val="both"/>
              <w:rPr>
                <w:b/>
                <w:sz w:val="24"/>
              </w:rPr>
            </w:pPr>
            <w:r>
              <w:rPr>
                <w:b/>
                <w:sz w:val="24"/>
                <w:lang w:val="en-US"/>
              </w:rPr>
              <w:t>The term for the placement of securities shall not be more than one year from the date of state registration of the equity securities additional issue. The end date of the securities placeme</w:t>
            </w:r>
            <w:r>
              <w:rPr>
                <w:b/>
                <w:sz w:val="24"/>
                <w:lang w:val="en-US"/>
              </w:rPr>
              <w:t>nt is July 31, 2019.</w:t>
            </w:r>
          </w:p>
          <w:p w14:paraId="739F37DB" w14:textId="77777777" w:rsidR="00467661" w:rsidRPr="0036391D" w:rsidRDefault="0036391D" w:rsidP="00467661">
            <w:pPr>
              <w:pStyle w:val="TableParagraph"/>
              <w:numPr>
                <w:ilvl w:val="1"/>
                <w:numId w:val="1"/>
              </w:numPr>
              <w:tabs>
                <w:tab w:val="left" w:pos="562"/>
              </w:tabs>
              <w:ind w:left="0" w:firstLine="0"/>
              <w:jc w:val="both"/>
              <w:rPr>
                <w:b/>
                <w:sz w:val="24"/>
                <w:lang w:val="en-US"/>
              </w:rPr>
            </w:pPr>
            <w:r>
              <w:rPr>
                <w:sz w:val="24"/>
                <w:lang w:val="en-US"/>
              </w:rPr>
              <w:t xml:space="preserve">Number of actually placed securities: </w:t>
            </w:r>
            <w:r>
              <w:rPr>
                <w:b/>
                <w:sz w:val="24"/>
                <w:lang w:val="en-US"/>
              </w:rPr>
              <w:t>13,000,538,248.30 (Thirteen billion five hundred and thirty-eight thousand two hundred and forty-eight w</w:t>
            </w:r>
            <w:bookmarkStart w:id="0" w:name="_GoBack"/>
            <w:bookmarkEnd w:id="0"/>
            <w:r>
              <w:rPr>
                <w:b/>
                <w:sz w:val="24"/>
                <w:lang w:val="en-US"/>
              </w:rPr>
              <w:t>hole thirty-eight) pieces.</w:t>
            </w:r>
          </w:p>
          <w:p w14:paraId="3E2EBDED" w14:textId="77777777" w:rsidR="00467661" w:rsidRPr="0036391D" w:rsidRDefault="0036391D" w:rsidP="00467661">
            <w:pPr>
              <w:pStyle w:val="TableParagraph"/>
              <w:numPr>
                <w:ilvl w:val="1"/>
                <w:numId w:val="1"/>
              </w:numPr>
              <w:tabs>
                <w:tab w:val="left" w:pos="698"/>
              </w:tabs>
              <w:ind w:left="0" w:firstLine="0"/>
              <w:jc w:val="both"/>
              <w:rPr>
                <w:b/>
                <w:sz w:val="24"/>
                <w:lang w:val="en-US"/>
              </w:rPr>
            </w:pPr>
            <w:r>
              <w:rPr>
                <w:sz w:val="24"/>
                <w:lang w:val="en-US"/>
              </w:rPr>
              <w:lastRenderedPageBreak/>
              <w:t xml:space="preserve">Share of actually placed securities in the total number of securities of the issue (additional issue) to be placed: </w:t>
            </w:r>
            <w:r>
              <w:rPr>
                <w:b/>
                <w:sz w:val="24"/>
                <w:lang w:val="en-US"/>
              </w:rPr>
              <w:t>65,1214 %.</w:t>
            </w:r>
          </w:p>
          <w:p w14:paraId="22390032" w14:textId="77777777" w:rsidR="00467661" w:rsidRPr="0036391D" w:rsidRDefault="0036391D" w:rsidP="00467661">
            <w:pPr>
              <w:pStyle w:val="TableParagraph"/>
              <w:numPr>
                <w:ilvl w:val="1"/>
                <w:numId w:val="1"/>
              </w:numPr>
              <w:tabs>
                <w:tab w:val="left" w:pos="742"/>
              </w:tabs>
              <w:ind w:left="0" w:firstLine="0"/>
              <w:jc w:val="both"/>
              <w:rPr>
                <w:b/>
                <w:sz w:val="24"/>
                <w:lang w:val="en-US"/>
              </w:rPr>
            </w:pPr>
            <w:r>
              <w:rPr>
                <w:sz w:val="24"/>
                <w:lang w:val="en-US"/>
              </w:rPr>
              <w:t>The actual price (actual prices) of the securities placement and the number of securities placed at each of the placement prices:</w:t>
            </w:r>
            <w:r>
              <w:rPr>
                <w:sz w:val="24"/>
                <w:lang w:val="en-US"/>
              </w:rPr>
              <w:t xml:space="preserve"> </w:t>
            </w:r>
            <w:r>
              <w:rPr>
                <w:b/>
                <w:sz w:val="24"/>
                <w:lang w:val="en-US"/>
              </w:rPr>
              <w:t>placement price of one additional ordinary registered uncertificated share (including persons included in the list of persons having a preemptive right to purchase additional shares to be placed) - 10 (Ten) kopecks. The number of securities placed at this</w:t>
            </w:r>
            <w:r>
              <w:rPr>
                <w:b/>
                <w:sz w:val="24"/>
                <w:lang w:val="en-US"/>
              </w:rPr>
              <w:t xml:space="preserve"> price is 13,000,538,248.30 (thirteen billion five hundred and thirty-eight thousand two hundred and forty-eight whole thirty-eight).</w:t>
            </w:r>
          </w:p>
          <w:p w14:paraId="7FC9427F" w14:textId="77777777" w:rsidR="00467661" w:rsidRPr="0036391D" w:rsidRDefault="0036391D" w:rsidP="00467661">
            <w:pPr>
              <w:pStyle w:val="TableParagraph"/>
              <w:numPr>
                <w:ilvl w:val="1"/>
                <w:numId w:val="1"/>
              </w:numPr>
              <w:tabs>
                <w:tab w:val="left" w:pos="708"/>
              </w:tabs>
              <w:ind w:left="0" w:firstLine="0"/>
              <w:jc w:val="both"/>
              <w:rPr>
                <w:b/>
                <w:sz w:val="24"/>
                <w:lang w:val="en-US"/>
              </w:rPr>
            </w:pPr>
            <w:r>
              <w:rPr>
                <w:sz w:val="24"/>
                <w:lang w:val="en-US"/>
              </w:rPr>
              <w:t>Form of payment for the placed securities, and if the placed securities were paid for with cash and other property (non-mo</w:t>
            </w:r>
            <w:r>
              <w:rPr>
                <w:sz w:val="24"/>
                <w:lang w:val="en-US"/>
              </w:rPr>
              <w:t xml:space="preserve">netary funds), also the number of the placed securities paid for with cash, and the number of the placed securities paid for with other property (non-monetary funds): </w:t>
            </w:r>
            <w:r>
              <w:rPr>
                <w:b/>
                <w:sz w:val="24"/>
                <w:lang w:val="en-US"/>
              </w:rPr>
              <w:t>The additional shares were paid for in cash in Russian rubles by cashless transaction. Nu</w:t>
            </w:r>
            <w:r>
              <w:rPr>
                <w:b/>
                <w:sz w:val="24"/>
                <w:lang w:val="en-US"/>
              </w:rPr>
              <w:t>mber of actually placed securities paid in cash: 13,000,538,248.30 (Thirteen billion five hundred and thirty-eight thousand two hundred and forty-eight whole thirty-eight) pieces.</w:t>
            </w:r>
          </w:p>
        </w:tc>
      </w:tr>
      <w:tr w:rsidR="00B37679" w14:paraId="0424B14D"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5DB1AC1D" w14:textId="77777777" w:rsidR="00467661" w:rsidRDefault="0036391D" w:rsidP="00B74BAE">
            <w:pPr>
              <w:pStyle w:val="TableParagraph"/>
              <w:ind w:left="0"/>
              <w:jc w:val="center"/>
              <w:rPr>
                <w:sz w:val="24"/>
              </w:rPr>
            </w:pPr>
            <w:r>
              <w:rPr>
                <w:sz w:val="24"/>
                <w:lang w:val="en-US"/>
              </w:rPr>
              <w:lastRenderedPageBreak/>
              <w:t>3. Signature</w:t>
            </w:r>
          </w:p>
        </w:tc>
      </w:tr>
      <w:tr w:rsidR="00B37679" w14:paraId="42F01A8A"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0EB28582" w14:textId="77777777" w:rsidR="00467661" w:rsidRPr="0036391D" w:rsidRDefault="0036391D" w:rsidP="00B74BAE">
            <w:pPr>
              <w:pStyle w:val="TableParagraph"/>
              <w:ind w:left="0"/>
              <w:rPr>
                <w:lang w:val="en-US"/>
              </w:rPr>
            </w:pPr>
            <w:r>
              <w:rPr>
                <w:sz w:val="24"/>
                <w:lang w:val="en-US"/>
              </w:rPr>
              <w:t xml:space="preserve">3.1. Head of Corporate Governance and Shareholder </w:t>
            </w:r>
            <w:r>
              <w:rPr>
                <w:sz w:val="24"/>
                <w:lang w:val="en-US"/>
              </w:rPr>
              <w:t>Relations Department (by proxy No. 86-19 dated January 1, 2019)</w:t>
            </w:r>
          </w:p>
        </w:tc>
        <w:tc>
          <w:tcPr>
            <w:tcW w:w="733" w:type="pct"/>
            <w:tcBorders>
              <w:top w:val="single" w:sz="4" w:space="0" w:color="auto"/>
              <w:bottom w:val="single" w:sz="4" w:space="0" w:color="auto"/>
            </w:tcBorders>
          </w:tcPr>
          <w:p w14:paraId="71B877FB" w14:textId="77777777" w:rsidR="00467661" w:rsidRPr="0036391D" w:rsidRDefault="0036391D" w:rsidP="00B74BA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4CDFDB62" w14:textId="77777777" w:rsidR="00467661" w:rsidRDefault="0036391D" w:rsidP="00B74BAE">
            <w:pPr>
              <w:pStyle w:val="TableParagraph"/>
              <w:tabs>
                <w:tab w:val="left" w:pos="5729"/>
                <w:tab w:val="left" w:pos="5854"/>
                <w:tab w:val="left" w:pos="7224"/>
                <w:tab w:val="left" w:pos="7774"/>
              </w:tabs>
              <w:ind w:left="0"/>
            </w:pPr>
            <w:r>
              <w:rPr>
                <w:sz w:val="24"/>
                <w:lang w:val="en-US"/>
              </w:rPr>
              <w:t>Pavlova E.N.</w:t>
            </w:r>
          </w:p>
        </w:tc>
      </w:tr>
      <w:tr w:rsidR="00B37679" w14:paraId="78654848"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1036F51B" w14:textId="77777777" w:rsidR="00467661" w:rsidRDefault="0036391D" w:rsidP="00B74BAE">
            <w:pPr>
              <w:pStyle w:val="TableParagraph"/>
              <w:tabs>
                <w:tab w:val="left" w:pos="5729"/>
                <w:tab w:val="left" w:pos="5854"/>
                <w:tab w:val="left" w:pos="7224"/>
                <w:tab w:val="left" w:pos="7774"/>
              </w:tabs>
              <w:ind w:left="0"/>
              <w:rPr>
                <w:sz w:val="24"/>
              </w:rPr>
            </w:pPr>
          </w:p>
        </w:tc>
        <w:tc>
          <w:tcPr>
            <w:tcW w:w="733" w:type="pct"/>
          </w:tcPr>
          <w:p w14:paraId="2765BF89" w14:textId="2A22AFDB" w:rsidR="00467661" w:rsidRDefault="0036391D" w:rsidP="00B74BAE">
            <w:pPr>
              <w:pStyle w:val="TableParagraph"/>
              <w:tabs>
                <w:tab w:val="left" w:pos="5729"/>
                <w:tab w:val="left" w:pos="5854"/>
                <w:tab w:val="left" w:pos="7224"/>
                <w:tab w:val="left" w:pos="7774"/>
              </w:tabs>
              <w:ind w:left="0"/>
            </w:pPr>
            <w:r>
              <w:rPr>
                <w:sz w:val="24"/>
                <w:lang w:val="en-US"/>
              </w:rPr>
              <w:t>(signature) L</w:t>
            </w:r>
            <w:r>
              <w:rPr>
                <w:lang w:val="en-US"/>
              </w:rPr>
              <w:t>.S</w:t>
            </w:r>
            <w:r>
              <w:rPr>
                <w:lang w:val="en-US"/>
              </w:rPr>
              <w:t>.</w:t>
            </w:r>
          </w:p>
        </w:tc>
        <w:tc>
          <w:tcPr>
            <w:tcW w:w="1445" w:type="pct"/>
            <w:tcBorders>
              <w:right w:val="single" w:sz="4" w:space="0" w:color="000000"/>
            </w:tcBorders>
          </w:tcPr>
          <w:p w14:paraId="0571C37D" w14:textId="77777777" w:rsidR="00467661" w:rsidRDefault="0036391D" w:rsidP="00B74BAE">
            <w:pPr>
              <w:pStyle w:val="TableParagraph"/>
              <w:tabs>
                <w:tab w:val="left" w:pos="5729"/>
                <w:tab w:val="left" w:pos="5854"/>
                <w:tab w:val="left" w:pos="7224"/>
                <w:tab w:val="left" w:pos="7774"/>
              </w:tabs>
              <w:ind w:left="0"/>
            </w:pPr>
          </w:p>
        </w:tc>
      </w:tr>
      <w:tr w:rsidR="00B37679" w14:paraId="69211962"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6092E2FF" w14:textId="77777777" w:rsidR="00467661" w:rsidRDefault="0036391D" w:rsidP="00B74BAE">
            <w:pPr>
              <w:pStyle w:val="TableParagraph"/>
              <w:ind w:left="0"/>
              <w:rPr>
                <w:sz w:val="24"/>
              </w:rPr>
            </w:pPr>
            <w:r>
              <w:rPr>
                <w:sz w:val="24"/>
                <w:lang w:val="en-US"/>
              </w:rPr>
              <w:t>3.2. Date</w:t>
            </w:r>
          </w:p>
        </w:tc>
        <w:tc>
          <w:tcPr>
            <w:tcW w:w="467" w:type="pct"/>
            <w:tcBorders>
              <w:bottom w:val="single" w:sz="4" w:space="0" w:color="000000"/>
            </w:tcBorders>
          </w:tcPr>
          <w:p w14:paraId="7E1B3FC0" w14:textId="77777777" w:rsidR="00467661" w:rsidRPr="00F33787" w:rsidRDefault="0036391D" w:rsidP="00467661">
            <w:pPr>
              <w:pStyle w:val="TableParagraph"/>
              <w:ind w:left="0"/>
              <w:rPr>
                <w:sz w:val="24"/>
              </w:rPr>
            </w:pPr>
            <w:r w:rsidRPr="00F33787">
              <w:rPr>
                <w:sz w:val="24"/>
                <w:lang w:val="en-US"/>
              </w:rPr>
              <w:t>July</w:t>
            </w:r>
          </w:p>
        </w:tc>
        <w:tc>
          <w:tcPr>
            <w:tcW w:w="668" w:type="pct"/>
            <w:tcBorders>
              <w:bottom w:val="single" w:sz="4" w:space="0" w:color="000000"/>
            </w:tcBorders>
          </w:tcPr>
          <w:p w14:paraId="7669B743" w14:textId="77777777" w:rsidR="00467661" w:rsidRPr="00F33787" w:rsidRDefault="0036391D" w:rsidP="00467661">
            <w:pPr>
              <w:pStyle w:val="TableParagraph"/>
              <w:ind w:left="0"/>
              <w:rPr>
                <w:sz w:val="24"/>
              </w:rPr>
            </w:pPr>
            <w:r w:rsidRPr="00F33787">
              <w:rPr>
                <w:sz w:val="24"/>
                <w:lang w:val="en-US"/>
              </w:rPr>
              <w:t>"31",</w:t>
            </w:r>
          </w:p>
        </w:tc>
        <w:tc>
          <w:tcPr>
            <w:tcW w:w="3233" w:type="pct"/>
            <w:gridSpan w:val="4"/>
            <w:tcBorders>
              <w:bottom w:val="single" w:sz="4" w:space="0" w:color="000000"/>
              <w:right w:val="single" w:sz="4" w:space="0" w:color="000000"/>
            </w:tcBorders>
          </w:tcPr>
          <w:p w14:paraId="50A871C3" w14:textId="77777777" w:rsidR="00467661" w:rsidRPr="00F33787" w:rsidRDefault="0036391D" w:rsidP="00B74BAE">
            <w:pPr>
              <w:pStyle w:val="TableParagraph"/>
              <w:spacing w:after="120"/>
              <w:ind w:left="0"/>
              <w:rPr>
                <w:sz w:val="24"/>
              </w:rPr>
            </w:pPr>
            <w:r w:rsidRPr="00F33787">
              <w:rPr>
                <w:sz w:val="24"/>
                <w:lang w:val="en-US"/>
              </w:rPr>
              <w:t>2019</w:t>
            </w:r>
          </w:p>
        </w:tc>
      </w:tr>
    </w:tbl>
    <w:p w14:paraId="35D7B2BF" w14:textId="77777777" w:rsidR="00467661" w:rsidRDefault="0036391D" w:rsidP="00467661"/>
    <w:sectPr w:rsidR="00467661" w:rsidSect="00467661">
      <w:pgSz w:w="11910" w:h="16840"/>
      <w:pgMar w:top="851"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A19F3"/>
    <w:multiLevelType w:val="multilevel"/>
    <w:tmpl w:val="AA7E1136"/>
    <w:lvl w:ilvl="0">
      <w:start w:val="2"/>
      <w:numFmt w:val="decimal"/>
      <w:lvlText w:val="%1"/>
      <w:lvlJc w:val="left"/>
      <w:pPr>
        <w:ind w:left="561" w:hanging="420"/>
        <w:jc w:val="left"/>
      </w:pPr>
      <w:rPr>
        <w:rFonts w:hint="default"/>
        <w:lang w:val="ru-RU" w:eastAsia="ru-RU" w:bidi="ru-RU"/>
      </w:rPr>
    </w:lvl>
    <w:lvl w:ilvl="1">
      <w:start w:val="1"/>
      <w:numFmt w:val="decimal"/>
      <w:lvlText w:val="%1.%2."/>
      <w:lvlJc w:val="left"/>
      <w:pPr>
        <w:ind w:left="141" w:hanging="420"/>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28" w:hanging="216"/>
      </w:pPr>
      <w:rPr>
        <w:rFonts w:ascii="Times New Roman" w:eastAsia="Times New Roman" w:hAnsi="Times New Roman" w:cs="Times New Roman" w:hint="default"/>
        <w:b/>
        <w:bCs/>
        <w:spacing w:val="-30"/>
        <w:w w:val="99"/>
        <w:sz w:val="24"/>
        <w:szCs w:val="24"/>
        <w:lang w:val="ru-RU" w:eastAsia="ru-RU" w:bidi="ru-RU"/>
      </w:rPr>
    </w:lvl>
    <w:lvl w:ilvl="3">
      <w:numFmt w:val="bullet"/>
      <w:lvlText w:val="•"/>
      <w:lvlJc w:val="left"/>
      <w:pPr>
        <w:ind w:left="1676" w:hanging="216"/>
      </w:pPr>
      <w:rPr>
        <w:rFonts w:hint="default"/>
        <w:lang w:val="ru-RU" w:eastAsia="ru-RU" w:bidi="ru-RU"/>
      </w:rPr>
    </w:lvl>
    <w:lvl w:ilvl="4">
      <w:numFmt w:val="bullet"/>
      <w:lvlText w:val="•"/>
      <w:lvlJc w:val="left"/>
      <w:pPr>
        <w:ind w:left="2792" w:hanging="216"/>
      </w:pPr>
      <w:rPr>
        <w:rFonts w:hint="default"/>
        <w:lang w:val="ru-RU" w:eastAsia="ru-RU" w:bidi="ru-RU"/>
      </w:rPr>
    </w:lvl>
    <w:lvl w:ilvl="5">
      <w:numFmt w:val="bullet"/>
      <w:lvlText w:val="•"/>
      <w:lvlJc w:val="left"/>
      <w:pPr>
        <w:ind w:left="3908" w:hanging="216"/>
      </w:pPr>
      <w:rPr>
        <w:rFonts w:hint="default"/>
        <w:lang w:val="ru-RU" w:eastAsia="ru-RU" w:bidi="ru-RU"/>
      </w:rPr>
    </w:lvl>
    <w:lvl w:ilvl="6">
      <w:numFmt w:val="bullet"/>
      <w:lvlText w:val="•"/>
      <w:lvlJc w:val="left"/>
      <w:pPr>
        <w:ind w:left="5024" w:hanging="216"/>
      </w:pPr>
      <w:rPr>
        <w:rFonts w:hint="default"/>
        <w:lang w:val="ru-RU" w:eastAsia="ru-RU" w:bidi="ru-RU"/>
      </w:rPr>
    </w:lvl>
    <w:lvl w:ilvl="7">
      <w:numFmt w:val="bullet"/>
      <w:lvlText w:val="•"/>
      <w:lvlJc w:val="left"/>
      <w:pPr>
        <w:ind w:left="6140" w:hanging="216"/>
      </w:pPr>
      <w:rPr>
        <w:rFonts w:hint="default"/>
        <w:lang w:val="ru-RU" w:eastAsia="ru-RU" w:bidi="ru-RU"/>
      </w:rPr>
    </w:lvl>
    <w:lvl w:ilvl="8">
      <w:numFmt w:val="bullet"/>
      <w:lvlText w:val="•"/>
      <w:lvlJc w:val="left"/>
      <w:pPr>
        <w:ind w:left="7256" w:hanging="216"/>
      </w:pPr>
      <w:rPr>
        <w:rFonts w:hint="default"/>
        <w:lang w:val="ru-RU" w:eastAsia="ru-RU" w:bidi="ru-RU"/>
      </w:rPr>
    </w:lvl>
  </w:abstractNum>
  <w:abstractNum w:abstractNumId="1" w15:restartNumberingAfterBreak="0">
    <w:nsid w:val="6DCD16E2"/>
    <w:multiLevelType w:val="multilevel"/>
    <w:tmpl w:val="58485560"/>
    <w:lvl w:ilvl="0">
      <w:start w:val="2"/>
      <w:numFmt w:val="decimal"/>
      <w:lvlText w:val="%1"/>
      <w:lvlJc w:val="left"/>
      <w:pPr>
        <w:ind w:left="141" w:hanging="420"/>
        <w:jc w:val="left"/>
      </w:pPr>
      <w:rPr>
        <w:rFonts w:hint="default"/>
        <w:lang w:val="ru-RU" w:eastAsia="ru-RU" w:bidi="ru-RU"/>
      </w:rPr>
    </w:lvl>
    <w:lvl w:ilvl="1">
      <w:start w:val="9"/>
      <w:numFmt w:val="decimal"/>
      <w:lvlText w:val="%1.%2."/>
      <w:lvlJc w:val="left"/>
      <w:pPr>
        <w:ind w:left="141" w:hanging="420"/>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2009" w:hanging="420"/>
      </w:pPr>
      <w:rPr>
        <w:rFonts w:hint="default"/>
        <w:lang w:val="ru-RU" w:eastAsia="ru-RU" w:bidi="ru-RU"/>
      </w:rPr>
    </w:lvl>
    <w:lvl w:ilvl="3">
      <w:numFmt w:val="bullet"/>
      <w:lvlText w:val="•"/>
      <w:lvlJc w:val="left"/>
      <w:pPr>
        <w:ind w:left="2944" w:hanging="420"/>
      </w:pPr>
      <w:rPr>
        <w:rFonts w:hint="default"/>
        <w:lang w:val="ru-RU" w:eastAsia="ru-RU" w:bidi="ru-RU"/>
      </w:rPr>
    </w:lvl>
    <w:lvl w:ilvl="4">
      <w:numFmt w:val="bullet"/>
      <w:lvlText w:val="•"/>
      <w:lvlJc w:val="left"/>
      <w:pPr>
        <w:ind w:left="3879" w:hanging="420"/>
      </w:pPr>
      <w:rPr>
        <w:rFonts w:hint="default"/>
        <w:lang w:val="ru-RU" w:eastAsia="ru-RU" w:bidi="ru-RU"/>
      </w:rPr>
    </w:lvl>
    <w:lvl w:ilvl="5">
      <w:numFmt w:val="bullet"/>
      <w:lvlText w:val="•"/>
      <w:lvlJc w:val="left"/>
      <w:pPr>
        <w:ind w:left="4814" w:hanging="420"/>
      </w:pPr>
      <w:rPr>
        <w:rFonts w:hint="default"/>
        <w:lang w:val="ru-RU" w:eastAsia="ru-RU" w:bidi="ru-RU"/>
      </w:rPr>
    </w:lvl>
    <w:lvl w:ilvl="6">
      <w:numFmt w:val="bullet"/>
      <w:lvlText w:val="•"/>
      <w:lvlJc w:val="left"/>
      <w:pPr>
        <w:ind w:left="5748" w:hanging="420"/>
      </w:pPr>
      <w:rPr>
        <w:rFonts w:hint="default"/>
        <w:lang w:val="ru-RU" w:eastAsia="ru-RU" w:bidi="ru-RU"/>
      </w:rPr>
    </w:lvl>
    <w:lvl w:ilvl="7">
      <w:numFmt w:val="bullet"/>
      <w:lvlText w:val="•"/>
      <w:lvlJc w:val="left"/>
      <w:pPr>
        <w:ind w:left="6683" w:hanging="420"/>
      </w:pPr>
      <w:rPr>
        <w:rFonts w:hint="default"/>
        <w:lang w:val="ru-RU" w:eastAsia="ru-RU" w:bidi="ru-RU"/>
      </w:rPr>
    </w:lvl>
    <w:lvl w:ilvl="8">
      <w:numFmt w:val="bullet"/>
      <w:lvlText w:val="•"/>
      <w:lvlJc w:val="left"/>
      <w:pPr>
        <w:ind w:left="7618" w:hanging="420"/>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37679"/>
    <w:rsid w:val="0036391D"/>
    <w:rsid w:val="00B3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78F7"/>
  <w15:docId w15:val="{A3EFD4E9-EA84-4570-8671-284D103C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E5E8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5E5E84"/>
    <w:tblPr>
      <w:tblInd w:w="0" w:type="dxa"/>
      <w:tblCellMar>
        <w:top w:w="0" w:type="dxa"/>
        <w:left w:w="0" w:type="dxa"/>
        <w:bottom w:w="0" w:type="dxa"/>
        <w:right w:w="0" w:type="dxa"/>
      </w:tblCellMar>
    </w:tblPr>
  </w:style>
  <w:style w:type="paragraph" w:styleId="a3">
    <w:name w:val="Body Text"/>
    <w:basedOn w:val="a"/>
    <w:uiPriority w:val="1"/>
    <w:qFormat/>
    <w:rsid w:val="005E5E84"/>
    <w:pPr>
      <w:ind w:left="905"/>
      <w:jc w:val="center"/>
    </w:pPr>
    <w:rPr>
      <w:b/>
      <w:bCs/>
      <w:sz w:val="24"/>
      <w:szCs w:val="24"/>
    </w:rPr>
  </w:style>
  <w:style w:type="paragraph" w:styleId="a4">
    <w:name w:val="List Paragraph"/>
    <w:basedOn w:val="a"/>
    <w:uiPriority w:val="1"/>
    <w:qFormat/>
    <w:rsid w:val="005E5E84"/>
  </w:style>
  <w:style w:type="paragraph" w:customStyle="1" w:styleId="TableParagraph">
    <w:name w:val="Table Paragraph"/>
    <w:basedOn w:val="a"/>
    <w:uiPriority w:val="1"/>
    <w:qFormat/>
    <w:rsid w:val="005E5E84"/>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Существенный факт</dc:title>
  <dc:creator>КонсультантПлюс</dc:creator>
  <cp:lastModifiedBy>Елизавета Пантина</cp:lastModifiedBy>
  <cp:revision>3</cp:revision>
  <dcterms:created xsi:type="dcterms:W3CDTF">2019-12-29T18:00:00Z</dcterms:created>
  <dcterms:modified xsi:type="dcterms:W3CDTF">2020-01-20T13:26:00Z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2016</vt:lpwstr>
  </property>
  <property fmtid="{D5CDD505-2E9C-101B-9397-08002B2CF9AE}" pid="4" name="LastSaved">
    <vt:filetime>2019-12-29T00:00:00Z</vt:filetime>
  </property>
</Properties>
</file>